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val="0"/>
          <w:color w:val="000000"/>
          <w:kern w:val="0"/>
          <w:sz w:val="44"/>
          <w:szCs w:val="44"/>
          <w:lang w:eastAsia="zh-CN"/>
        </w:rPr>
      </w:pPr>
      <w:bookmarkStart w:id="0" w:name="_Toc16925"/>
      <w:bookmarkStart w:id="1" w:name="_Toc26534"/>
      <w:bookmarkStart w:id="2" w:name="_Toc22283"/>
      <w:bookmarkStart w:id="3" w:name="_Toc22595"/>
      <w:r>
        <w:rPr>
          <w:rFonts w:hint="eastAsia" w:ascii="方正小标宋简体" w:hAnsi="方正小标宋简体" w:eastAsia="方正小标宋简体" w:cs="方正小标宋简体"/>
          <w:b w:val="0"/>
          <w:bCs w:val="0"/>
          <w:color w:val="000000"/>
          <w:kern w:val="0"/>
          <w:sz w:val="44"/>
          <w:szCs w:val="44"/>
          <w:lang w:eastAsia="zh-CN"/>
        </w:rPr>
        <w:t>青海西互高速公路管理有限公司</w:t>
      </w:r>
    </w:p>
    <w:p>
      <w:pPr>
        <w:pStyle w:val="2"/>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安全生产事故报告制</w:t>
      </w:r>
      <w:bookmarkEnd w:id="0"/>
      <w:bookmarkEnd w:id="1"/>
      <w:bookmarkEnd w:id="2"/>
      <w:bookmarkEnd w:id="3"/>
      <w:r>
        <w:rPr>
          <w:rFonts w:hint="eastAsia" w:ascii="方正小标宋简体" w:hAnsi="方正小标宋简体" w:eastAsia="方正小标宋简体" w:cs="方正小标宋简体"/>
          <w:b w:val="0"/>
          <w:bCs w:val="0"/>
          <w:color w:val="000000"/>
          <w:kern w:val="0"/>
          <w:sz w:val="44"/>
          <w:szCs w:val="44"/>
        </w:rPr>
        <w:t>度</w:t>
      </w:r>
    </w:p>
    <w:p>
      <w:pPr>
        <w:pStyle w:val="9"/>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p>
    <w:p>
      <w:pPr>
        <w:pStyle w:val="9"/>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pPr>
        <w:pStyle w:val="9"/>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宋体"/>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根据《生产安全事故报告和调查处理条例》</w:t>
      </w:r>
      <w:r>
        <w:rPr>
          <w:rFonts w:hint="eastAsia" w:ascii="仿宋_GB2312" w:hAnsi="仿宋_GB2312" w:cs="仿宋_GB2312"/>
          <w:sz w:val="32"/>
          <w:szCs w:val="32"/>
          <w:lang w:val="en-US" w:eastAsia="zh-CN"/>
        </w:rPr>
        <w:t>有关规定，</w:t>
      </w:r>
      <w:r>
        <w:rPr>
          <w:rFonts w:hint="eastAsia" w:ascii="仿宋" w:hAnsi="仿宋" w:eastAsia="仿宋" w:cs="宋体"/>
          <w:sz w:val="32"/>
          <w:szCs w:val="32"/>
        </w:rPr>
        <w:fldChar w:fldCharType="begin"/>
      </w:r>
      <w:r>
        <w:rPr>
          <w:rFonts w:hint="eastAsia" w:ascii="仿宋" w:hAnsi="仿宋" w:eastAsia="仿宋" w:cs="宋体"/>
          <w:sz w:val="32"/>
          <w:szCs w:val="32"/>
        </w:rPr>
        <w:instrText xml:space="preserve"> LINK Word.Document.8 F:\\张祖勤-工作\\三门湾大桥及接线工程\\指挥部安全管理文件\\安全生产管理办法程序3.doc OLE_LINK2 \a \r </w:instrText>
      </w:r>
      <w:bookmarkStart w:id="4" w:name="_1445684142"/>
      <w:bookmarkEnd w:id="4"/>
      <w:r>
        <w:rPr>
          <w:rFonts w:hint="eastAsia" w:ascii="仿宋" w:hAnsi="仿宋" w:eastAsia="仿宋" w:cs="宋体"/>
          <w:sz w:val="32"/>
          <w:szCs w:val="32"/>
        </w:rPr>
        <w:instrText xml:space="preserve"> \* MERGEFORMAT </w:instrText>
      </w:r>
      <w:bookmarkStart w:id="5" w:name="_1486645609"/>
      <w:bookmarkEnd w:id="5"/>
      <w:r>
        <w:rPr>
          <w:rFonts w:hint="eastAsia" w:ascii="仿宋" w:hAnsi="仿宋" w:eastAsia="仿宋" w:cs="宋体"/>
          <w:sz w:val="32"/>
          <w:szCs w:val="32"/>
        </w:rPr>
        <w:fldChar w:fldCharType="separate"/>
      </w:r>
      <w:r>
        <w:rPr>
          <w:rFonts w:hint="eastAsia" w:ascii="仿宋" w:hAnsi="仿宋" w:eastAsia="仿宋" w:cs="宋体"/>
          <w:sz w:val="32"/>
          <w:szCs w:val="32"/>
        </w:rPr>
        <w:fldChar w:fldCharType="end"/>
      </w:r>
      <w:r>
        <w:rPr>
          <w:rFonts w:hint="eastAsia" w:ascii="仿宋" w:hAnsi="仿宋" w:eastAsia="仿宋" w:cs="宋体"/>
          <w:sz w:val="32"/>
          <w:szCs w:val="32"/>
        </w:rPr>
        <w:t>特制订本制度</w:t>
      </w:r>
      <w:r>
        <w:rPr>
          <w:rFonts w:hint="eastAsia" w:ascii="仿宋" w:hAnsi="仿宋" w:eastAsia="仿宋" w:cs="宋体"/>
          <w:sz w:val="32"/>
          <w:szCs w:val="32"/>
          <w:lang w:eastAsia="zh-CN"/>
        </w:rPr>
        <w:t>。</w:t>
      </w:r>
    </w:p>
    <w:p>
      <w:pPr>
        <w:pStyle w:val="9"/>
        <w:pageBreakBefore w:val="0"/>
        <w:widowControl w:val="0"/>
        <w:numPr>
          <w:ilvl w:val="0"/>
          <w:numId w:val="0"/>
        </w:numPr>
        <w:kinsoku/>
        <w:wordWrap/>
        <w:overflowPunct/>
        <w:topLinePunct w:val="0"/>
        <w:autoSpaceDE/>
        <w:autoSpaceDN/>
        <w:bidi w:val="0"/>
        <w:adjustRightInd/>
        <w:snapToGrid/>
        <w:spacing w:line="576" w:lineRule="exact"/>
        <w:ind w:firstLine="3200" w:firstLineChars="1000"/>
        <w:jc w:val="both"/>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sz w:val="32"/>
          <w:szCs w:val="32"/>
        </w:rPr>
        <w:t>事故报告</w:t>
      </w:r>
    </w:p>
    <w:p>
      <w:pPr>
        <w:pStyle w:val="9"/>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第二条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发生安全事故，应当按照国家有关伤亡事故报告和调查处理的规定及时、如实地向</w:t>
      </w:r>
      <w:r>
        <w:rPr>
          <w:rFonts w:hint="eastAsia" w:ascii="仿宋_GB2312" w:hAnsi="仿宋_GB2312" w:cs="仿宋_GB2312"/>
          <w:sz w:val="32"/>
          <w:szCs w:val="32"/>
          <w:lang w:val="en-US" w:eastAsia="zh-CN"/>
        </w:rPr>
        <w:t>当地安全监督部门、西互</w:t>
      </w:r>
      <w:r>
        <w:rPr>
          <w:rFonts w:hint="eastAsia" w:ascii="仿宋_GB2312" w:hAnsi="仿宋_GB2312" w:eastAsia="仿宋_GB2312" w:cs="仿宋_GB2312"/>
          <w:sz w:val="32"/>
          <w:szCs w:val="32"/>
        </w:rPr>
        <w:t>公司安全管理部报告。</w:t>
      </w:r>
    </w:p>
    <w:p>
      <w:pPr>
        <w:pStyle w:val="9"/>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w:t>
      </w:r>
      <w:r>
        <w:rPr>
          <w:rFonts w:hint="eastAsia" w:ascii="仿宋_GB2312" w:hAnsi="仿宋_GB2312" w:cs="仿宋_GB2312"/>
          <w:b/>
          <w:bCs/>
          <w:sz w:val="32"/>
          <w:szCs w:val="32"/>
          <w:lang w:val="en-US" w:eastAsia="zh-CN"/>
        </w:rPr>
        <w:t>三</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发生人身死亡及以上事故后，相关部门现场负责人应当在1小时以内,直接或逐级以电话方式上报</w:t>
      </w:r>
      <w:r>
        <w:rPr>
          <w:rFonts w:hint="eastAsia" w:ascii="仿宋_GB2312" w:hAnsi="仿宋_GB2312" w:cs="仿宋_GB2312"/>
          <w:sz w:val="32"/>
          <w:szCs w:val="32"/>
          <w:lang w:val="en-US" w:eastAsia="zh-CN"/>
        </w:rPr>
        <w:t>安全监督部门和</w:t>
      </w:r>
      <w:r>
        <w:rPr>
          <w:rFonts w:hint="eastAsia" w:ascii="仿宋_GB2312" w:hAnsi="仿宋_GB2312" w:eastAsia="仿宋_GB2312" w:cs="仿宋_GB2312"/>
          <w:sz w:val="32"/>
          <w:szCs w:val="32"/>
        </w:rPr>
        <w:t>西互公司，并在2小时内以书面形式上报西互公司。对出现安全生产事故而隐瞒不报的或存在重大安全隐患被媒体曝光的，追究相关部门及人员的责任</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并对单位按违约处理。</w:t>
      </w:r>
    </w:p>
    <w:p>
      <w:pPr>
        <w:pStyle w:val="9"/>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发生事故的部门应当保护事故现场，并迅速采取必要措施，抢救人员和财产，防止事故扩大。</w:t>
      </w:r>
    </w:p>
    <w:p>
      <w:pPr>
        <w:pStyle w:val="9"/>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cs="仿宋_GB2312"/>
          <w:b/>
          <w:bCs/>
          <w:sz w:val="32"/>
          <w:szCs w:val="32"/>
          <w:lang w:val="en-US" w:eastAsia="zh-CN"/>
        </w:rPr>
        <w:t>五</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事故报告执行有关规定，不得隐瞒不报、谎报或拖延不报，不得故意破坏事故现场，毁灭有关证据。</w:t>
      </w:r>
    </w:p>
    <w:p>
      <w:pPr>
        <w:pStyle w:val="9"/>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cs="仿宋_GB2312"/>
          <w:b/>
          <w:bCs/>
          <w:sz w:val="32"/>
          <w:szCs w:val="32"/>
          <w:lang w:val="en-US" w:eastAsia="zh-CN"/>
        </w:rPr>
        <w:t>六</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事故报告的内容</w:t>
      </w:r>
    </w:p>
    <w:p>
      <w:pPr>
        <w:pStyle w:val="9"/>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事故发生的时间、地点、工程名称、企业名称；</w:t>
      </w:r>
    </w:p>
    <w:p>
      <w:pPr>
        <w:pStyle w:val="9"/>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事故发生的简要经过，伤亡人数和直接经济损失的初步估计；</w:t>
      </w:r>
    </w:p>
    <w:p>
      <w:pPr>
        <w:pStyle w:val="9"/>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事故发生原因的初步判断；</w:t>
      </w:r>
    </w:p>
    <w:p>
      <w:pPr>
        <w:pStyle w:val="9"/>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事故发生后采取的措施及事故控制情况；</w:t>
      </w:r>
    </w:p>
    <w:p>
      <w:pPr>
        <w:pStyle w:val="9"/>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事故报告单位；</w:t>
      </w:r>
    </w:p>
    <w:p>
      <w:pPr>
        <w:pStyle w:val="9"/>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发生伤亡事故后，根据国务院第75号《企业职工伤亡事故报告和处理规定》和青海交通投资有限公司有关规定进行安全事故调查处理；</w:t>
      </w:r>
    </w:p>
    <w:p>
      <w:pPr>
        <w:pStyle w:val="9"/>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施工人身伤亡事故的责任判定按《公路企业伤亡事故处理规则》办理；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事故责任依次划分为直接责任、主要责任、领导责任。公司将对责任单位和个人按照有关规定进行必要的处罚。</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val="en-US" w:eastAsia="zh-CN"/>
        </w:rPr>
        <w:t>七</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b w:val="0"/>
          <w:bCs w:val="0"/>
          <w:kern w:val="2"/>
          <w:sz w:val="32"/>
          <w:szCs w:val="32"/>
        </w:rPr>
        <w:t>本</w:t>
      </w:r>
      <w:r>
        <w:rPr>
          <w:rFonts w:hint="eastAsia" w:ascii="仿宋_GB2312" w:hAnsi="仿宋_GB2312" w:eastAsia="仿宋_GB2312" w:cs="仿宋_GB2312"/>
          <w:b w:val="0"/>
          <w:bCs w:val="0"/>
          <w:kern w:val="2"/>
          <w:sz w:val="32"/>
          <w:szCs w:val="32"/>
          <w:lang w:eastAsia="zh-CN"/>
        </w:rPr>
        <w:t>制度</w:t>
      </w:r>
      <w:r>
        <w:rPr>
          <w:rFonts w:hint="eastAsia" w:ascii="仿宋_GB2312" w:hAnsi="仿宋_GB2312" w:eastAsia="仿宋_GB2312" w:cs="仿宋_GB2312"/>
          <w:b w:val="0"/>
          <w:bCs w:val="0"/>
          <w:kern w:val="2"/>
          <w:sz w:val="32"/>
          <w:szCs w:val="32"/>
        </w:rPr>
        <w:t>由</w:t>
      </w:r>
      <w:r>
        <w:rPr>
          <w:rFonts w:hint="eastAsia" w:ascii="仿宋_GB2312" w:hAnsi="仿宋_GB2312" w:eastAsia="仿宋_GB2312" w:cs="仿宋_GB2312"/>
          <w:kern w:val="2"/>
          <w:sz w:val="32"/>
          <w:szCs w:val="32"/>
          <w:lang w:eastAsia="zh-CN"/>
        </w:rPr>
        <w:t>青海西互高速公路管理有限公司</w:t>
      </w:r>
      <w:r>
        <w:rPr>
          <w:rFonts w:hint="eastAsia" w:ascii="仿宋_GB2312" w:hAnsi="仿宋_GB2312" w:eastAsia="仿宋_GB2312" w:cs="仿宋_GB2312"/>
          <w:kern w:val="2"/>
          <w:sz w:val="32"/>
          <w:szCs w:val="32"/>
        </w:rPr>
        <w:t>安全管理部</w:t>
      </w:r>
      <w:r>
        <w:rPr>
          <w:rFonts w:hint="eastAsia" w:ascii="仿宋_GB2312" w:hAnsi="仿宋_GB2312" w:eastAsia="仿宋_GB2312" w:cs="仿宋_GB2312"/>
          <w:b w:val="0"/>
          <w:bCs w:val="0"/>
          <w:kern w:val="2"/>
          <w:sz w:val="32"/>
          <w:szCs w:val="32"/>
        </w:rPr>
        <w:t>负责解释，自</w:t>
      </w:r>
      <w:r>
        <w:rPr>
          <w:rFonts w:hint="eastAsia" w:ascii="仿宋_GB2312" w:hAnsi="仿宋_GB2312" w:eastAsia="仿宋_GB2312" w:cs="仿宋_GB2312"/>
          <w:b w:val="0"/>
          <w:bCs w:val="0"/>
          <w:kern w:val="2"/>
          <w:sz w:val="32"/>
          <w:szCs w:val="32"/>
          <w:lang w:eastAsia="zh-CN"/>
        </w:rPr>
        <w:t>印发之</w:t>
      </w:r>
      <w:r>
        <w:rPr>
          <w:rFonts w:hint="eastAsia" w:ascii="仿宋_GB2312" w:hAnsi="仿宋_GB2312" w:eastAsia="仿宋_GB2312" w:cs="仿宋_GB2312"/>
          <w:b w:val="0"/>
          <w:bCs w:val="0"/>
          <w:kern w:val="2"/>
          <w:sz w:val="32"/>
          <w:szCs w:val="32"/>
        </w:rPr>
        <w:t>日起</w:t>
      </w:r>
      <w:r>
        <w:rPr>
          <w:rFonts w:hint="eastAsia" w:ascii="仿宋_GB2312" w:hAnsi="仿宋_GB2312" w:eastAsia="仿宋_GB2312" w:cs="仿宋_GB2312"/>
          <w:b w:val="0"/>
          <w:bCs w:val="0"/>
          <w:kern w:val="2"/>
          <w:sz w:val="32"/>
          <w:szCs w:val="32"/>
          <w:lang w:eastAsia="zh-CN"/>
        </w:rPr>
        <w:t>执行</w:t>
      </w:r>
      <w:r>
        <w:rPr>
          <w:rFonts w:hint="eastAsia" w:ascii="仿宋_GB2312" w:hAnsi="仿宋_GB2312" w:eastAsia="仿宋_GB2312" w:cs="仿宋_GB2312"/>
          <w:b w:val="0"/>
          <w:bCs w:val="0"/>
          <w:kern w:val="2"/>
          <w:sz w:val="32"/>
          <w:szCs w:val="32"/>
        </w:rPr>
        <w:t>。</w:t>
      </w:r>
    </w:p>
    <w:p>
      <w:bookmarkStart w:id="6" w:name="_GoBack"/>
      <w:bookmarkEnd w:id="6"/>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716608;mso-width-relative:page;mso-height-relative:page;" filled="f" stroked="f" coordsize="21600,21600" o:gfxdata="UEsDBAoAAAAAAIdO4kAAAAAAAAAAAAAAAAAEAAAAZHJzL1BLAwQUAAAACACHTuJAfSBjW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kxsFzVNcOFYb8rQHat&#10;/D+g+wFQSwMEFAAAAAgAh07iQMn34jCvAQAATQMAAA4AAABkcnMvZTJvRG9jLnhtbK1TzWobMRC+&#10;F/IOQvdYawe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Iuzu6DEcYsz2v942f/8vf/1TNCHDepDrDHvKWBmGq79gMmjP6Iz6x4U&#10;2PxFRQTj2Ordqb1ySETkR/PZfF5hSGBsvCA+e30eIKY76S3JRkMB51fayrdfYjqkjim5mvO32pgy&#10;Q+P+cSBm9rDM/cAxW2lYDUdBK9/uUE+Po2+ow92kxNw77GzektGA0ViNxiaAXndIbVp4xXC1SUii&#10;cMsVDrDHwjizou64X3kp/r6XrNe/YP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SBjWtMAAAAI&#10;AQAADwAAAAAAAAABACAAAAAiAAAAZHJzL2Rvd25yZXYueG1sUEsBAhQAFAAAAAgAh07iQMn34jCv&#10;AQAATQMAAA4AAAAAAAAAAQAgAAAAIgEAAGRycy9lMm9Eb2MueG1sUEsFBgAAAAAGAAYAWQEAAEMF&#10;AAAAAA==&#10;">
              <v:fill on="f" focussize="0,0"/>
              <v:stroke on="f"/>
              <v:imagedata o:title=""/>
              <o:lock v:ext="edit" aspectratio="f"/>
              <v:textbox inset="0mm,0mm,0mm,0mm" style="mso-fit-shape-to-text:t;">
                <w:txbxContent>
                  <w:p>
                    <w:pPr>
                      <w:rPr>
                        <w:rFonts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5198C"/>
    <w:rsid w:val="11C714E7"/>
    <w:rsid w:val="2AB20944"/>
    <w:rsid w:val="2CB14FD2"/>
    <w:rsid w:val="3BE03F81"/>
    <w:rsid w:val="4213572F"/>
    <w:rsid w:val="50260B0F"/>
    <w:rsid w:val="5641601A"/>
    <w:rsid w:val="64D34E44"/>
    <w:rsid w:val="66D65BE5"/>
    <w:rsid w:val="74DF2F6C"/>
    <w:rsid w:val="7A1A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正文88"/>
    <w:basedOn w:val="1"/>
    <w:qFormat/>
    <w:uiPriority w:val="0"/>
    <w:pPr>
      <w:spacing w:line="500" w:lineRule="exact"/>
      <w:ind w:firstLine="200" w:firstLineChars="200"/>
    </w:pPr>
    <w:rPr>
      <w:rFonts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2019-12-19T01:54:00Z</dcterms:created>
  <dc:creator>Administrator</dc:creator>
  <cp:lastModifiedBy>伟伟</cp:lastModifiedBy>
  <dcterms:modified xsi:type="dcterms:W3CDTF">2019-12-19T02:12:38Z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