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4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4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4" w:lineRule="exact"/>
        <w:ind w:right="0"/>
        <w:jc w:val="both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4" w:lineRule="exact"/>
        <w:ind w:right="0"/>
        <w:jc w:val="both"/>
        <w:textAlignment w:val="auto"/>
        <w:rPr>
          <w:rFonts w:hint="eastAsia"/>
          <w:sz w:val="28"/>
          <w:szCs w:val="28"/>
        </w:rPr>
      </w:pPr>
    </w:p>
    <w:p>
      <w:pPr>
        <w:spacing w:line="7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西高建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青海西互高速公路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月份“六比六创”劳动竞赛活动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及“真抓实干一百天,用心建好西互路”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青海西互高速公路管理有限公司关于开展“六比六创”劳动竞赛活动的通知》(青西高建〔2019〕41号)文件要求，为进一步加强项目建设的质量、安全、进度、环保、创新、综合管理等工作，积极营造“比、学、赶、帮、超”的良好建设氛围，全力推动品质工程创建和“真抓实干一百天，用心建好西互路”活动，西互公司组织各参建单位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专项检查和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考核，现将评比情况通报如下：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一、整体检查情况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月份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单位全面展开了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路基土方、桥梁桩基、涵洞、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梁及涵节的预制、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隧道洞口等施工，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清表17.69万平方米，累计52.2%；挖土方27.64万方，累计8.1%；填土方21.9万方，累计5%；水泥桩2.81万米，累计2.7%；桩基121根，累计18.5%；墩柱12根，累计2.4%；地系梁10个，累计3.7%；预制箱梁1片、涵节3节；隔离栅防护6.1Km,累计8.2%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。通过检查，各参建单位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能够对9月份“六比六创”、公司专项检查反馈问题高度重视并积极整改，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够按照公司要求，开展品质工程创建工作，落实施工标准化各项措施，配合组织了交流学习观摩。但部分工点现场混乱，施工工艺标准化未得到有效落实，存在材料不合格，部分实体工程主要指标不合格的现象，对进度滞后未制定切实可行的纠偏措施；部分现场文明施工落实不到位，安全工作仍需加强；“重外业轻内业”现象仍比较普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施工自检、试验资料与工程实体不同步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上报资料不及时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二、各单位具体情况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(一)设计单位：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招商局重庆交通科研设计院有限公司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组织开展两个标段设计核对及现场核查工作，参加5项变更现场踏勘工作；开展了交通安全核查工作。但存在防洪评价推进慢影响土地报建，现场核查设计问题解决慢，未及时进行设计变更处理和出具设计意见。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(二)监理单位：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江西交通咨询有限公司/浙江东亿工程管理有限公司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总监办重视质量监理，强化了现场监理工作。大部分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监理人员工作主动性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基本能够履行监理职责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关键部位、工序实施了监控，做好了旁站、巡视、平行检验和见证取样等现场监理工作；建立质量问题或事故管理台账；抽检原材料17批次；抽检压实度、水泥土剂量、钢筋机械连接、泥浆指标等共62批次；下达监理指令11份、监理通知5份、红头文件6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个别施工方案审批不及时，监理指令闭环资料简单，未体现整改过程、措施、现场核查等内容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(三)中心试验室：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中南安全环境技术研究院股份有限公司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基本完成中心试验室建设工作，检测原材料11批次，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抽查结构尺寸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处，钢筋保护层厚度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构件，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桩基8根，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路基压实度共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4段。但存在部分试验检测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人员长期缺岗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检测大纲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未上报西互公司进行审批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信息化建设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工作滞后，现场试验检测开展不积极、不主动。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）施工单位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1.XHSG-1标：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中交二公局第三工程有限公司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工程质量：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质量管理体系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健全，工程实体质量基本可控；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冬季施工方案，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对项目管理人员进行冬施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施工自检、试验资料与工程实体不同步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不及时；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监理指令闭环资料不完善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现场钢筋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随地摆放，未采取有效保护措施；</w:t>
      </w:r>
      <w:r>
        <w:rPr>
          <w:rFonts w:hint="eastAsia" w:ascii="仿宋" w:hAnsi="仿宋" w:eastAsia="仿宋"/>
          <w:sz w:val="32"/>
          <w:szCs w:val="32"/>
          <w:lang w:eastAsia="zh-CN"/>
        </w:rPr>
        <w:t>南互通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涵洞</w:t>
      </w:r>
      <w:r>
        <w:rPr>
          <w:rFonts w:hint="eastAsia" w:ascii="仿宋" w:hAnsi="仿宋" w:eastAsia="仿宋"/>
          <w:sz w:val="32"/>
          <w:szCs w:val="32"/>
          <w:lang w:eastAsia="zh-CN"/>
        </w:rPr>
        <w:t>砼保温及养生措施不到位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  <w:lang w:eastAsia="zh-CN"/>
        </w:rPr>
        <w:t>现场结构物表面出现多处裂缝。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安全生产：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基本能够落实安全主体责任，对新进场队伍进行三级安全技术交底，落实每日班前教育制度，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随着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现场作业面增加，安全管理工作滞后，安全措施落实不力，施工现场多处临时用电不规范，存在安全隐患。</w:t>
      </w:r>
      <w:r>
        <w:rPr>
          <w:rFonts w:hint="eastAsia" w:ascii="仿宋_GB2312" w:hAnsi="仿宋_GB2312" w:eastAsia="仿宋_GB2312" w:cs="仿宋_GB2312"/>
          <w:sz w:val="32"/>
          <w:szCs w:val="32"/>
        </w:rPr>
        <w:t>塘川互通A匝道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围挡不完善；</w:t>
      </w:r>
      <w:r>
        <w:rPr>
          <w:rFonts w:hint="eastAsia" w:ascii="仿宋_GB2312" w:hAnsi="仿宋_GB2312" w:eastAsia="仿宋_GB2312" w:cs="仿宋_GB2312"/>
          <w:sz w:val="32"/>
          <w:szCs w:val="32"/>
        </w:rPr>
        <w:t>钢筋加工配送中心龙门吊吊钩无卡扣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未办理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人员工伤保险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环境保护：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全线</w:t>
      </w:r>
      <w:r>
        <w:rPr>
          <w:rFonts w:hint="eastAsia" w:ascii="仿宋" w:hAnsi="仿宋" w:eastAsia="仿宋"/>
          <w:sz w:val="32"/>
          <w:szCs w:val="32"/>
          <w:lang w:eastAsia="zh-CN"/>
        </w:rPr>
        <w:t>除个别工点外其他作业点现场较凌乱，文明施工（形象）较差，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钢筋等材料乱堆乱放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驻地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等处生活垃圾处理不及时，环保交底资料不齐全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(4)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工程进度：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实际工程进度滞后，对工程总体进度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及年度投资目标任务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影响较大。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虽然根据现场实际增加了班组和机械，但目标性仍然不强，进度管理被动，调整不及时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(5)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综合管理：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按照农民工产业化及管理信息化要求，设立农民工宿舍区，增加理发室、超市及夜校，提高了生活质量，对农民工进行集中管理。但存在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农民工工资及机械租赁费、材料费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发放不及时，对西互项目公司提出的“7S”管理落实不到位，未对农民工进行体检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。设置了廉政告示牌、举报箱、宣传栏等设施，公布了廉政举报电话，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但存在廉政责任书未逐级签订，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未制定落实《廉政合同》的相关制度或考核办法，廉政资料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精神文明建设资料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不完善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(6)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科技创新：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制定了创新方案和计划，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品质工程创建、工艺工法改进工作，积极参加省厅样板标杆工程评选活动，共计5项通过交投公司初步遴选，其中拌合站、钢筋加工配送中心、试验室、钢筋场智能化配置等4项临建工程，涵洞钢筋定位卡尺1项先进工艺工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2.XHSG-2标：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中交一公局集团有限公司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工程质量：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执行首件制，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认真开展总结提炼工作，指导后续施工；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冬季施工方案，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对项目管理人员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及施工班组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冬施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但存在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施工自检、试验资料与工程实体不同步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不及时；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监理指令闭环资料不完善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质量管理体系运转不良，现场质量管控能力下降，原材料把控不严，个别桥梁桩基出现偏位，</w:t>
      </w:r>
      <w:r>
        <w:rPr>
          <w:rFonts w:hint="eastAsia" w:ascii="仿宋" w:hAnsi="仿宋" w:eastAsia="仿宋"/>
          <w:sz w:val="32"/>
          <w:szCs w:val="32"/>
          <w:lang w:eastAsia="zh-CN"/>
        </w:rPr>
        <w:t>桩基钢筋笼主筋部分烧伤、箍筋焊点多处脱焊；互助东主线桥钢筋笼耳筋数量不足，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西山根个别路段路基施工不规范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安全生产：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基本能够落实安全主体责任，建立VR安全体验馆，对新进场队伍进行三级安全技术交底，落实每日班前教育制度，开展劳动法、新安全法的宣贯学习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但存在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对现场安全管理工作落实不力，临时用电未按照规范要求进行管控，安全隐患较大。</w:t>
      </w:r>
      <w:r>
        <w:rPr>
          <w:rFonts w:hint="eastAsia" w:ascii="仿宋_GB2312" w:hAnsi="仿宋_GB2312" w:eastAsia="仿宋_GB2312" w:cs="仿宋_GB2312"/>
          <w:sz w:val="32"/>
          <w:szCs w:val="32"/>
        </w:rPr>
        <w:t>预制梁龙门吊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限位装置，轨道未安装夹轨器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存在挂证、无证现象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环境保护：</w:t>
      </w:r>
      <w:r>
        <w:rPr>
          <w:rFonts w:hint="eastAsia" w:ascii="仿宋" w:hAnsi="仿宋" w:eastAsia="仿宋"/>
          <w:sz w:val="32"/>
          <w:szCs w:val="32"/>
          <w:lang w:eastAsia="zh-CN"/>
        </w:rPr>
        <w:t>除个别工点外其他作业点现场较凌乱，文明施工较差，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钢筋等材料乱堆乱放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拌合站环保措施不到位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(4)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工程进度：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实际工程进度滞后，对工程总体进度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及年度投资目标任务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影响较大。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虽然根据现场实际增加了班组和机械，但仍存在桥梁施工队伍不满足现场进度需求，目标性仍然不强，进度管理被动，进度计划调整不及时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(5)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综合管理：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树立“以人为本”的管理理念，对农民工进行班组化集中管理，设立了产业工人培训中心。但存在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农民工工资及机械租赁费、材料费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发放不及时，对西互项目公司提出的“7S”管理落实不到位，未对农民工进行体检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廉政责任书未逐级签订，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未制定落实《廉政合同》的相关制度或考核办法，党风廉政建设制度不完善，个别制度和工作计划无可操作性,廉政风险防控手册未建立。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(6)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科技创新：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制定了创新方案和计划，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品质工程创建、工艺工法改进工作，积极参加省厅样板标杆评选活动，共计11项通过交投公司初步遴选，其中钢筋加工配送中心、工地试验室、场站置等3项临建工程，盖梁骨架片焊接机器人、预制梁采用型钢台座等4项先进工艺工法，桩基钢筋笼定位平台、梁底预埋钢板纵坡调节装置等3项微创新，钢筋配送中心班组化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10月份“六比六创”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评比结果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经综合评比和西互公司研究，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流动黄旗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面，收取违约金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万元，通报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表扬3项，通报批评1项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(一)监理单位：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江西交通咨询有限公司/浙江东亿工程管理有限公司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监理服务工作主动性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有所提高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对关键部位、工序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进行有效监控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并对施工单位进度、质量出现的问题及时组织分析会并提出整改建议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，经评比给予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通报表扬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(二)中心试验室：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中南安全环境技术研究院股份有限公司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试验室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人员配置不够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对项目实体试验检测指导不力、检测频率不足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，经评比给予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综合管理通报批评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(三)施工单位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1.XHSG-1标：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中交二公局第三工程有限公司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推进工作不力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项目进度计划和现场实际完成差距大，未及时采取有效措施进行纠偏，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机械设备投入不足、不配套，经评比给予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进度管理黄旗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1面，收取违约金10万元。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积极开展工程品质提升工作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采用数控钢筋笼滚焊机、桩基钢筋笼连接采用直螺纹套筒机械、涵洞钢筋制作采用定位卡尺精确定位等，改进了项目工艺工法，同时积极参加省厅样板标杆评选活动，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经评比给予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通报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表扬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2.XHSG-2标：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中交一公局集团有限公司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质量意识及管控能力下降，对桩基施工管控不到位，个别桩基出现偏位现象；原材料管控不严，部分砂石料不合格；西山根部分段落路基施工不规范。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经评比给予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质量管理黄旗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1面，收取违约金10万元。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积极开展工程品质提升工作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采用焊接机器人、钢筋数控弯曲机、钢筋数控弯箍机、数控调直切断机等先进机械设备，建立标准化场站、钢筋加工配送中心、工地试验室等，同时积极参加省厅样板标杆评选活动，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经评比给予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通报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表扬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四、“真抓实干一百天，用心建好西互路”考核结果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“真抓实干一百天，用心建好西互路”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专项行动实施方案，西互项目2家施工单位未完成10月阶段性目标任务，对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中交二公局第三工程有限公司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中交一公局集团有限公司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在信用考核评价中各扣除1分。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、下一步工作要求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中心试验室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强化人员配置，发挥监测监控技术服务职能，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加大试验检测频率和巡查力度，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发现的问题及时预警和汇报，并形成书面材料及时反馈西互公司。对存在的问题加强整改后复查，按月将检测资料整理归档报公司核备。</w:t>
      </w:r>
    </w:p>
    <w:p>
      <w:pPr>
        <w:autoSpaceDE w:val="0"/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监理单位进一步主动发挥监督作用，加强现场质量管控，狠抓隐蔽工程施工工序，严把材料准入关、工序检验关。各单位落实质量管理责任，</w:t>
      </w:r>
      <w:r>
        <w:rPr>
          <w:rFonts w:hint="eastAsia" w:ascii="仿宋" w:hAnsi="仿宋" w:eastAsia="仿宋"/>
          <w:sz w:val="32"/>
          <w:szCs w:val="32"/>
          <w:lang w:eastAsia="zh-CN"/>
        </w:rPr>
        <w:t>项目经理、总工加强现场调度、蹲点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整改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确保质检体系良性运转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autoSpaceDE w:val="0"/>
        <w:spacing w:line="576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持续抓好首件工程制、原材料准入制，对完成的首件及时总结施工技术参数，组织召开分析会议，对达到品质要求的首件工程进行全线推广。加强原材料管控，加大原材料抽检力度，对不合格原材料坚决清理出场，确保项目原材料各项参数合格，原材优质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各参建单位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安全生产“处处看、时时管、常抓不懈”的思想，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加大冬季施工安全措施的落实，加强对危险源的排查和辩解，确保项目质量进度的同时，安全无事故。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各参建单位根据西互公司《开展2019年“真抓实干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，用心建好西互路”劳动竞赛实施方案》相关要求，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及时对滞后进度进行分析纠偏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采取相应措施，迎头赶上，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确保年度产值任务的完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(六)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各参建单位环保工作常态化，实行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边施工边绿化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，在空置地域加快苗木的移植。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(七)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各参建单位高度重视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省厅样板标杆评选工作，结合相应要求，及时对遴选项进行内外业的完善工作，确保后续技术服务中心现场核查和遴选评选得到较好的结果。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青海西互高速公路管理有限公司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29845</wp:posOffset>
                </wp:positionV>
                <wp:extent cx="566674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67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3pt;margin-top:2.35pt;height:0.05pt;width:446.2pt;z-index:251659264;mso-width-relative:page;mso-height-relative:page;" filled="f" stroked="t" coordsize="21600,21600" o:gfxdata="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UcH9NQAAAAGAQAADwAAAAAAAAAB&#10;ACAAAAAiAAAAZHJzL2Rvd25yZXYueG1sUEsBAhQAFAAAAAgAh07iQDV+29XbAQAAmAMAAA4AAAAA&#10;AAAAAQAgAAAAI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w:t>抄送：青海交通投资有限公司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Calibri" w:hAnsi="Calibri" w:eastAsia="宋体" w:cs="黑体"/>
          <w:color w:val="auto"/>
          <w:kern w:val="2"/>
          <w:sz w:val="28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53975</wp:posOffset>
                </wp:positionV>
                <wp:extent cx="5699125" cy="33782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9125" cy="337820"/>
                          <a:chOff x="0" y="0"/>
                          <a:chExt cx="8863" cy="532"/>
                        </a:xfrm>
                        <a:effectLst/>
                      </wpg:grpSpPr>
                      <wps:wsp>
                        <wps:cNvPr id="3" name="直接连接符 1"/>
                        <wps:cNvCnPr/>
                        <wps:spPr>
                          <a:xfrm>
                            <a:off x="14" y="532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  <wps:wsp>
                        <wps:cNvPr id="5" name="直接连接符 2"/>
                        <wps:cNvCnPr/>
                        <wps:spPr>
                          <a:xfrm>
                            <a:off x="0" y="0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9pt;margin-top:4.25pt;height:26.6pt;width:448.75pt;z-index:251658240;mso-width-relative:page;mso-height-relative:page;" coordsize="8863,532" o:gfxdata="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dEDvzYAAAABwEAAA8AAAAAAAAAAQAgAAAAIgAAAGRycy9kb3du&#10;cmV2LnhtbFBLAQIUABQAAAAIAIdO4kCW76j5cQIAAOwGAAAOAAAAAAAAAAEAIAAAACcBAABkcnMv&#10;ZTJvRG9jLnhtbFBLBQYAAAAABgAGAFkBAAAKBgAAAAA=&#10;">
                <o:lock v:ext="edit" aspectratio="f"/>
                <v:line id="直接连接符 1" o:spid="_x0000_s1026" o:spt="20" style="position:absolute;left:14;top:532;height:0;width:8849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0;height:0;width:8849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w:t>青海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w:t>西互高速公路管理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w:t>有限公司综合管理部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201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28"/>
          <w:szCs w:val="28"/>
        </w:rPr>
        <w:t>日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印发</w:t>
      </w:r>
    </w:p>
    <w:sectPr>
      <w:footerReference r:id="rId5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23646"/>
    <w:rsid w:val="00F22C28"/>
    <w:rsid w:val="02311AF7"/>
    <w:rsid w:val="033466B9"/>
    <w:rsid w:val="0703685E"/>
    <w:rsid w:val="075D3431"/>
    <w:rsid w:val="08C32435"/>
    <w:rsid w:val="09505B7B"/>
    <w:rsid w:val="0EBF4F5B"/>
    <w:rsid w:val="0FBC7B99"/>
    <w:rsid w:val="17303473"/>
    <w:rsid w:val="19616E95"/>
    <w:rsid w:val="1B1609BE"/>
    <w:rsid w:val="1CA42028"/>
    <w:rsid w:val="1F6E4C73"/>
    <w:rsid w:val="1FA5187B"/>
    <w:rsid w:val="218D7C5D"/>
    <w:rsid w:val="21DB2D21"/>
    <w:rsid w:val="22394DB4"/>
    <w:rsid w:val="23833256"/>
    <w:rsid w:val="23A35C3D"/>
    <w:rsid w:val="25005D3A"/>
    <w:rsid w:val="2561560D"/>
    <w:rsid w:val="25E04EC0"/>
    <w:rsid w:val="260B294F"/>
    <w:rsid w:val="26226AE1"/>
    <w:rsid w:val="266F79F0"/>
    <w:rsid w:val="27614CD1"/>
    <w:rsid w:val="2BC834E3"/>
    <w:rsid w:val="2E426C55"/>
    <w:rsid w:val="2E825696"/>
    <w:rsid w:val="2F240636"/>
    <w:rsid w:val="300312CD"/>
    <w:rsid w:val="316F3262"/>
    <w:rsid w:val="329571BD"/>
    <w:rsid w:val="3342642A"/>
    <w:rsid w:val="354C4AB6"/>
    <w:rsid w:val="361C0332"/>
    <w:rsid w:val="38374C26"/>
    <w:rsid w:val="39E159F1"/>
    <w:rsid w:val="3A78779E"/>
    <w:rsid w:val="3ADF31DA"/>
    <w:rsid w:val="3B3A7BCA"/>
    <w:rsid w:val="3D682B79"/>
    <w:rsid w:val="3D815C46"/>
    <w:rsid w:val="3DB27189"/>
    <w:rsid w:val="410D75A2"/>
    <w:rsid w:val="43C76F22"/>
    <w:rsid w:val="4543145E"/>
    <w:rsid w:val="45DD08C5"/>
    <w:rsid w:val="48107FD7"/>
    <w:rsid w:val="488E7543"/>
    <w:rsid w:val="48CC6A14"/>
    <w:rsid w:val="4A1E2A67"/>
    <w:rsid w:val="4AE10264"/>
    <w:rsid w:val="4B8431FD"/>
    <w:rsid w:val="4D3023C2"/>
    <w:rsid w:val="4D3E1571"/>
    <w:rsid w:val="4D8707C6"/>
    <w:rsid w:val="4DD956C3"/>
    <w:rsid w:val="4E324516"/>
    <w:rsid w:val="4FAB44DE"/>
    <w:rsid w:val="52910DE7"/>
    <w:rsid w:val="56363B5F"/>
    <w:rsid w:val="57D64FE3"/>
    <w:rsid w:val="5A054B1E"/>
    <w:rsid w:val="5A517241"/>
    <w:rsid w:val="5A9A5B6A"/>
    <w:rsid w:val="5B87661A"/>
    <w:rsid w:val="5C1F5CFD"/>
    <w:rsid w:val="5E0E41B6"/>
    <w:rsid w:val="5F1B10B9"/>
    <w:rsid w:val="5FDF7085"/>
    <w:rsid w:val="6046274D"/>
    <w:rsid w:val="63FC55AC"/>
    <w:rsid w:val="652D296A"/>
    <w:rsid w:val="67D221D5"/>
    <w:rsid w:val="694212D5"/>
    <w:rsid w:val="694C5E51"/>
    <w:rsid w:val="69E23646"/>
    <w:rsid w:val="69F23C6D"/>
    <w:rsid w:val="6AC85FD2"/>
    <w:rsid w:val="6CC9774D"/>
    <w:rsid w:val="6DC0799F"/>
    <w:rsid w:val="6E8A2B8D"/>
    <w:rsid w:val="6ECA653B"/>
    <w:rsid w:val="6F247FD7"/>
    <w:rsid w:val="6FA21C24"/>
    <w:rsid w:val="7113693C"/>
    <w:rsid w:val="713A156C"/>
    <w:rsid w:val="72016F58"/>
    <w:rsid w:val="775C647E"/>
    <w:rsid w:val="783A3A1C"/>
    <w:rsid w:val="788B1FA0"/>
    <w:rsid w:val="78C6171B"/>
    <w:rsid w:val="7968230A"/>
    <w:rsid w:val="7A3D43F1"/>
    <w:rsid w:val="7A984FB6"/>
    <w:rsid w:val="7DF801A1"/>
    <w:rsid w:val="7E9C4505"/>
    <w:rsid w:val="7EAC3290"/>
    <w:rsid w:val="7F7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12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leftChars="0"/>
      <w:jc w:val="center"/>
      <w:outlineLvl w:val="0"/>
    </w:pPr>
    <w:rPr>
      <w:rFonts w:eastAsia="宋体" w:asciiTheme="minorAscii" w:hAnsiTheme="minorAscii"/>
      <w:kern w:val="44"/>
      <w:sz w:val="36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tabs>
        <w:tab w:val="left" w:pos="840"/>
      </w:tabs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uiPriority w:val="0"/>
  </w:style>
  <w:style w:type="character" w:customStyle="1" w:styleId="11">
    <w:name w:val="标题 2 Char"/>
    <w:link w:val="5"/>
    <w:qFormat/>
    <w:uiPriority w:val="0"/>
    <w:rPr>
      <w:rFonts w:ascii="Arial" w:hAnsi="Arial" w:eastAsia="宋体"/>
      <w:sz w:val="21"/>
    </w:rPr>
  </w:style>
  <w:style w:type="character" w:customStyle="1" w:styleId="12">
    <w:name w:val="标题 1 Char"/>
    <w:link w:val="2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2019-09-28T07:05:00Z</dcterms:created>
  <dc:creator>汪正兴</dc:creator>
  <cp:lastModifiedBy>汪正兴</cp:lastModifiedBy>
  <dcterms:modified xsi:type="dcterms:W3CDTF">2019-11-04T09:37:24Z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