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576" w:lineRule="exact"/>
        <w:ind w:right="64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/>
          <w:sz w:val="28"/>
          <w:szCs w:val="28"/>
        </w:rPr>
      </w:pPr>
    </w:p>
    <w:p>
      <w:pPr>
        <w:spacing w:line="1040" w:lineRule="exact"/>
        <w:jc w:val="both"/>
        <w:rPr>
          <w:rFonts w:hint="eastAsia"/>
          <w:sz w:val="28"/>
          <w:szCs w:val="28"/>
        </w:rPr>
      </w:pPr>
    </w:p>
    <w:p>
      <w:pPr>
        <w:spacing w:line="7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/>
        <w:jc w:val="both"/>
        <w:textAlignment w:val="auto"/>
        <w:outlineLvl w:val="9"/>
        <w:rPr>
          <w:rStyle w:val="8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0" w:firstLineChars="0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青海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西互高速公路管理有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0" w:firstLineChars="0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关于农民工工资清欠保支专项检查情况的通报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880" w:firstLineChars="200"/>
        <w:jc w:val="both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各参建单位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为认真贯彻落实</w:t>
      </w:r>
      <w:r>
        <w:rPr>
          <w:rFonts w:hint="eastAsia" w:ascii="仿宋_GB2312" w:eastAsia="仿宋_GB2312"/>
          <w:color w:val="000000"/>
          <w:sz w:val="32"/>
          <w:szCs w:val="32"/>
        </w:rPr>
        <w:t>省交通运输厅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及交投公司</w:t>
      </w:r>
      <w:r>
        <w:rPr>
          <w:rFonts w:ascii="仿宋_GB2312" w:eastAsia="仿宋_GB2312"/>
          <w:color w:val="000000"/>
          <w:sz w:val="32"/>
          <w:szCs w:val="32"/>
        </w:rPr>
        <w:t>关于</w:t>
      </w:r>
      <w:r>
        <w:rPr>
          <w:rFonts w:hint="eastAsia" w:ascii="仿宋_GB2312" w:eastAsia="仿宋_GB2312"/>
          <w:color w:val="000000"/>
          <w:sz w:val="32"/>
          <w:szCs w:val="32"/>
        </w:rPr>
        <w:t>农民工清欠保支管理工作</w:t>
      </w:r>
      <w:r>
        <w:rPr>
          <w:rFonts w:ascii="仿宋_GB2312" w:eastAsia="仿宋_GB2312"/>
          <w:color w:val="000000"/>
          <w:sz w:val="32"/>
          <w:szCs w:val="32"/>
        </w:rPr>
        <w:t>部署</w:t>
      </w:r>
      <w:r>
        <w:rPr>
          <w:rFonts w:hint="eastAsia" w:ascii="仿宋_GB2312" w:eastAsia="仿宋_GB2312"/>
          <w:color w:val="000000"/>
          <w:sz w:val="32"/>
          <w:szCs w:val="32"/>
        </w:rPr>
        <w:t>，按照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青海西互高速公路管理有限公司关于印发农民工管理办法的通知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》（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青西高建</w:t>
      </w:r>
      <w:r>
        <w:rPr>
          <w:rFonts w:hint="eastAsia" w:ascii="仿宋_GB2312" w:hAnsi="黑体" w:eastAsia="仿宋_GB2312"/>
          <w:color w:val="000000"/>
          <w:w w:val="97"/>
          <w:sz w:val="32"/>
          <w:szCs w:val="32"/>
        </w:rPr>
        <w:t>〔201</w:t>
      </w:r>
      <w:r>
        <w:rPr>
          <w:rFonts w:hint="eastAsia" w:ascii="仿宋_GB2312" w:hAnsi="黑体" w:eastAsia="仿宋_GB2312"/>
          <w:color w:val="000000"/>
          <w:w w:val="97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color w:val="000000"/>
          <w:w w:val="97"/>
          <w:sz w:val="32"/>
          <w:szCs w:val="32"/>
        </w:rPr>
        <w:t>〕</w:t>
      </w:r>
      <w:r>
        <w:rPr>
          <w:rFonts w:hint="eastAsia" w:ascii="仿宋_GB2312" w:hAnsi="黑体" w:eastAsia="仿宋_GB2312"/>
          <w:color w:val="000000"/>
          <w:w w:val="97"/>
          <w:sz w:val="32"/>
          <w:szCs w:val="32"/>
          <w:lang w:val="en-US" w:eastAsia="zh-CN"/>
        </w:rPr>
        <w:t>47</w:t>
      </w:r>
      <w:r>
        <w:rPr>
          <w:rFonts w:hint="eastAsia" w:ascii="仿宋_GB2312" w:hAnsi="黑体" w:eastAsia="仿宋_GB2312"/>
          <w:color w:val="000000"/>
          <w:w w:val="97"/>
          <w:sz w:val="32"/>
          <w:szCs w:val="32"/>
        </w:rPr>
        <w:t>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，为切实维护广大农民工合法权益，确保清欠保支工作落到实处，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公司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于11月7日进行了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农民工工资清欠保支工作专项检查。现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将检查情况通报如下：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各参建单位按照合同约定均已办理了农民工专用账户，劳动合同签订率100%，实名制覆盖率100%，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农民工工资专用账户制度覆盖60%以上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完成了农民工班组驻地建设，并设置了翼闸人脸识别系统，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举报投诉渠道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畅通，未发生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举报投诉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欠薪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上访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事件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但存在农民工管理工作未做实做细，尤其合作劳务队对外租机械及人员费用支付监管不到位，仍存在上访隐患。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二、各参建单位存在问题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1.中交二公局第三工程有限公司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未建立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劳动保障监察制度机制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未制定农民工工资支付制度、农民工工作目标责任制度；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农民工考勤表、工资表、工资发放表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填写不规范，考勤表不能及时收集并进行汇总；农民工体检工作滞后，缺少</w:t>
      </w:r>
      <w:r>
        <w:rPr>
          <w:rFonts w:hint="eastAsia" w:ascii="仿宋_GB2312" w:hAnsi="仿宋_GB2312" w:eastAsia="仿宋_GB2312" w:cs="仿宋_GB2312"/>
          <w:sz w:val="32"/>
          <w:szCs w:val="32"/>
        </w:rPr>
        <w:t>民工工会成立文件、成员、分工、工作计划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民工工资结算承诺办法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民工工会活动开展情况（包括宣传、学习资料）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及时和退场农民工进行退场和清欠确认，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抽查班组人员商彬于月初就已离场回家，但未做退场登记，经核查7月至10月工资未发放存在上访隐患。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2、中交一公局集团有限公司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未建立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劳动保障监察制度机制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未制定农民工工资支付、农民工工作目标责任制度；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痕迹化管理存在漏洞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农民工考勤表、工资表、工资发放表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填写不规范，考勤表不能及时收集并进行汇总，工资发放不及时，未落实按月结算存在上访隐患；劳动合同中填写不清楚、不准确；农民工体检工作滞后，缺少</w:t>
      </w:r>
      <w:r>
        <w:rPr>
          <w:rFonts w:hint="eastAsia" w:ascii="仿宋_GB2312" w:hAnsi="仿宋_GB2312" w:eastAsia="仿宋_GB2312" w:cs="仿宋_GB2312"/>
          <w:sz w:val="32"/>
          <w:szCs w:val="32"/>
        </w:rPr>
        <w:t>民工工会成立文件、成员、分工、工作计划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民工工资结算承诺办法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民工工会活动开展情况（包括宣传、学习资料）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(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一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各参建单位认真学习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《青海省交通运输厅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关于全面治理交通运输工程建设拖欠农民工工资的实施意见》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青交办建管</w:t>
      </w:r>
      <w:r>
        <w:rPr>
          <w:rFonts w:hint="eastAsia" w:ascii="仿宋_GB2312" w:hAnsi="仿宋_GB2312" w:eastAsia="仿宋_GB2312" w:cs="仿宋_GB2312"/>
          <w:color w:val="000000"/>
          <w:w w:val="97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color w:val="000000"/>
          <w:w w:val="97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w w:val="97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w w:val="97"/>
          <w:sz w:val="32"/>
          <w:szCs w:val="32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color w:val="000000"/>
          <w:w w:val="97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依据实施意见对照自查，进一步加强和规范农民工管理工作。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jc w:val="both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各参建单位要认真学习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青海西互高速管理有限公司关于印发农民工管理办法的通知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》（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青西高建</w:t>
      </w:r>
      <w:r>
        <w:rPr>
          <w:rFonts w:hint="eastAsia" w:ascii="仿宋_GB2312" w:hAnsi="黑体" w:eastAsia="仿宋_GB2312"/>
          <w:color w:val="000000"/>
          <w:w w:val="97"/>
          <w:sz w:val="32"/>
          <w:szCs w:val="32"/>
        </w:rPr>
        <w:t>〔201</w:t>
      </w:r>
      <w:r>
        <w:rPr>
          <w:rFonts w:hint="eastAsia" w:ascii="仿宋_GB2312" w:hAnsi="黑体" w:eastAsia="仿宋_GB2312"/>
          <w:color w:val="000000"/>
          <w:w w:val="97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color w:val="000000"/>
          <w:w w:val="97"/>
          <w:sz w:val="32"/>
          <w:szCs w:val="32"/>
        </w:rPr>
        <w:t>〕</w:t>
      </w:r>
      <w:r>
        <w:rPr>
          <w:rFonts w:hint="eastAsia" w:ascii="仿宋_GB2312" w:hAnsi="黑体" w:eastAsia="仿宋_GB2312"/>
          <w:color w:val="000000"/>
          <w:w w:val="97"/>
          <w:sz w:val="32"/>
          <w:szCs w:val="32"/>
          <w:lang w:val="en-US" w:eastAsia="zh-CN"/>
        </w:rPr>
        <w:t>47</w:t>
      </w:r>
      <w:r>
        <w:rPr>
          <w:rFonts w:hint="eastAsia" w:ascii="仿宋_GB2312" w:hAnsi="黑体" w:eastAsia="仿宋_GB2312"/>
          <w:color w:val="000000"/>
          <w:w w:val="97"/>
          <w:sz w:val="32"/>
          <w:szCs w:val="32"/>
        </w:rPr>
        <w:t>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文件精神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，正确认识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农民工管理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工作的总体要求和部署，解决治理农民工工资拖欠问题，切实维护好参建农民工的合法权益。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contextualSpacing/>
        <w:jc w:val="both"/>
        <w:textAlignment w:val="auto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(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)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进一步加强农民工管理责任制落实工作，专人专责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解决拖欠农民工工资问题。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规范签订劳务合同和机械租赁合同，及时将新进场人员纳入农民工实名制管理中，进一步健全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实名制管理台账资料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加强规范工程劳务分包和劳动用工工资发放监督管理工作，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从源头上防止农民工工资拖欠和劳务纠纷的发生，防范恶意讨薪行为的发生。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(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)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继续加强落实</w:t>
      </w:r>
      <w:r>
        <w:rPr>
          <w:rFonts w:hint="eastAsia" w:ascii="仿宋_GB2312" w:hAnsi="宋体" w:eastAsia="仿宋_GB2312"/>
          <w:sz w:val="32"/>
          <w:szCs w:val="32"/>
        </w:rPr>
        <w:t>青海交通投资有限公司关于印发&lt;农民工工资清欠保支工作管理办法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(</w:t>
      </w:r>
      <w:r>
        <w:rPr>
          <w:rFonts w:hint="eastAsia" w:ascii="仿宋_GB2312" w:hAnsi="宋体" w:eastAsia="仿宋_GB2312"/>
          <w:sz w:val="32"/>
          <w:szCs w:val="32"/>
        </w:rPr>
        <w:t>试行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)</w:t>
      </w:r>
      <w:r>
        <w:rPr>
          <w:rFonts w:hint="eastAsia" w:ascii="仿宋_GB2312" w:hAnsi="宋体" w:eastAsia="仿宋_GB2312"/>
          <w:sz w:val="32"/>
          <w:szCs w:val="32"/>
        </w:rPr>
        <w:t>&gt;的通知》(青交投建</w:t>
      </w:r>
      <w:r>
        <w:rPr>
          <w:rFonts w:hint="eastAsia" w:ascii="仿宋_GB2312" w:hAnsi="黑体" w:eastAsia="仿宋_GB2312"/>
          <w:sz w:val="32"/>
          <w:szCs w:val="32"/>
        </w:rPr>
        <w:t>〔2018〕275号</w:t>
      </w:r>
      <w:r>
        <w:rPr>
          <w:rFonts w:hint="eastAsia" w:ascii="仿宋_GB2312" w:hAnsi="宋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文件相关要求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hAnsi="仿宋" w:eastAsia="仿宋_GB2312"/>
          <w:color w:val="000000"/>
          <w:w w:val="97"/>
          <w:sz w:val="32"/>
          <w:szCs w:val="32"/>
          <w:lang w:val="en-US" w:eastAsia="zh-CN"/>
        </w:rPr>
        <w:t>西互公司管理工作要求，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监理单位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应加强督办各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参建单位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农民工工资发放排查工作，切实做好保障支付工作，确保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农民工工资按月足额支付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(五)针对项目进入冬季施工及年底冬休，部分项目即将停工，对撤场的队伍及时完成资金支付和农民工工资发放，建立农民工退场档案资料，确保农民工工资、机械费用等无拖欠，无上访隐患。对存在清欠保支工作落实不力，发生上访隐患的单位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jc w:val="both"/>
        <w:textAlignment w:val="auto"/>
        <w:rPr>
          <w:rFonts w:hint="default" w:ascii="仿宋_GB2312" w:hAns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按照信用评价进行违约处理。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请参建单位高度重视，认清当前农民工管理工作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态势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，认真履行农民工管理主体责任，牢固树立防范意识，对农民工工资拖欠和合同纠纷等问题早发现、早处理，切实保证农民工管理和清欠保支工作有序、到位。各单位要及时完成未发放工资的清欠工作，并将发放情况于11月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日前报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西互公司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报备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青海西互高速公路管理有限公司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/>
        <w:textAlignment w:val="auto"/>
        <w:outlineLvl w:val="9"/>
        <w:rPr>
          <w:rFonts w:hint="eastAsia"/>
          <w:lang w:val="en-US" w:eastAsia="zh-CN"/>
        </w:rPr>
      </w:pPr>
      <w:r>
        <w:rPr>
          <w:rFonts w:ascii="Calibri" w:hAnsi="Calibri" w:eastAsia="宋体" w:cs="黑体"/>
          <w:color w:val="auto"/>
          <w:kern w:val="2"/>
          <w:sz w:val="28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53975</wp:posOffset>
                </wp:positionV>
                <wp:extent cx="5699125" cy="33782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9125" cy="337820"/>
                          <a:chOff x="0" y="0"/>
                          <a:chExt cx="8863" cy="532"/>
                        </a:xfrm>
                        <a:effectLst/>
                      </wpg:grpSpPr>
                      <wps:wsp>
                        <wps:cNvPr id="3" name="直接连接符 1"/>
                        <wps:cNvCnPr/>
                        <wps:spPr>
                          <a:xfrm>
                            <a:off x="14" y="532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  <wps:wsp>
                        <wps:cNvPr id="5" name="直接连接符 2"/>
                        <wps:cNvCnPr/>
                        <wps:spPr>
                          <a:xfrm>
                            <a:off x="0" y="0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9pt;margin-top:4.25pt;height:26.6pt;width:448.75pt;z-index:251658240;mso-width-relative:page;mso-height-relative:page;" coordsize="8863,532" o:gfxdata="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dEDvzYAAAABwEAAA8AAAAAAAAAAQAgAAAAIgAAAGRycy9kb3du&#10;cmV2LnhtbFBLAQIUABQAAAAIAIdO4kCW76j5cQIAAOwGAAAOAAAAAAAAAAEAIAAAACcBAABkcnMv&#10;ZTJvRG9jLnhtbFBLBQYAAAAABgAGAFkBAAAKBgAAAAA=&#10;">
                <o:lock v:ext="edit" aspectratio="f"/>
                <v:line id="直接连接符 1" o:spid="_x0000_s1026" o:spt="20" style="position:absolute;left:14;top:532;height:0;width:8849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0;height:0;width:8849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  <w:t>青海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 w:eastAsia="zh-CN"/>
        </w:rPr>
        <w:t>西互高速公路管理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  <w:t>有限公司综合管理部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201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28"/>
          <w:szCs w:val="28"/>
        </w:rPr>
        <w:t>日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印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发</w:t>
      </w:r>
    </w:p>
    <w:sectPr>
      <w:footerReference r:id="rId5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F5212A"/>
    <w:multiLevelType w:val="singleLevel"/>
    <w:tmpl w:val="91F521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750B7"/>
    <w:rsid w:val="031E32D2"/>
    <w:rsid w:val="048C2E69"/>
    <w:rsid w:val="104750B7"/>
    <w:rsid w:val="227D3BCF"/>
    <w:rsid w:val="28CC793E"/>
    <w:rsid w:val="5C0A2B27"/>
    <w:rsid w:val="611B5E4A"/>
    <w:rsid w:val="648B13A8"/>
    <w:rsid w:val="69811FAE"/>
    <w:rsid w:val="78AB469B"/>
    <w:rsid w:val="7F1B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2019-11-08T03:09:00Z</dcterms:created>
  <dc:creator>一只贼疯的狗</dc:creator>
  <cp:lastModifiedBy>汪正兴</cp:lastModifiedBy>
  <cp:lastPrinted>2019-11-14T09:54:00Z</cp:lastPrinted>
  <dcterms:modified xsi:type="dcterms:W3CDTF">2019-11-15T01:36:18Z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