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4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4" w:lineRule="exact"/>
        <w:ind w:right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4" w:lineRule="exact"/>
        <w:ind w:right="0"/>
        <w:jc w:val="both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4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2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</w:t>
      </w:r>
      <w:r>
        <w:rPr>
          <w:rFonts w:hint="eastAsia" w:ascii="仿宋_GB2312" w:hAnsi="仿宋_GB2312" w:eastAsia="仿宋_GB2312" w:cs="仿宋_GB2312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青海西互高速公路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月份“六比六创”劳动竞赛活动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评比结果的通报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各参建单位：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根据《青海西互高速公路管理有限公司关于开展“六比六创”劳动竞赛活动的通知》(青西高建〔2019〕41号)文件要求，为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强化建设项目质量、进度、费用、安全及廉政建设等现场管理工作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积极营造“比、学、赶、帮、超”的良好建设氛围，全力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做好西互项目质量、安全、进度等管理全面提升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。西互公司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结合2020年4月底省交通技术服务中心质量安全综合督查反馈意见及整改工作，进行了4月份“六比六创”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考核，现将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情况通报如下：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一、整体检查情况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月份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西互公司开展了质量、安全、环保、农民工专项检查，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省交通技术服务中心开展了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质量安全综合督查。各参建单位在配合好各项检查的同时，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有序推进了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路基土方、桥梁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下部结构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、涵洞、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及涵节的预制、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隧道施工，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完成清表1.9万平方米，累计96.1%；挖土方41.7万方，累计60.8%；填土方51.9万方，累计40%；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水泥改良土挤密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桩13.5万米，累计59.1%；桩基84根，累计75%；墩柱73根，累计18.4%；地系梁27个，累计19.1%；预制箱梁28片，累计7.6%；涵节71节,累计23%；涵洞12道，累计19.3%；隧道掘进38.9 米，累计6.8%；隔离栅防护1.7Km,累计63.8%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施工1标段质量、安全管理基本可控，安全围挡、便道、标识标牌等形象较好，增加了降尘设施，开展了互助南互通植绿工作；但现场涵洞砼外观质量控制不到位，气孔、麻面较多。施工2标段质量管理体系运转仍未有效发挥，抽检K30+972处水泥土桩灰剂量不合格；互助东主线2-3号桥梁墩柱砼外观差，墩顶浮浆严重；梁板、涵节、小构件预制施工资源配置不足，进度缓慢。监理单位监理职能发挥不力，未对施工现场存在的问题进行纠偏，工地试验室未有效履行试验监督职能，未按照合同要求独立进行外委检测。中心试验室技术力量投入不足，对项目技术指导服务不到位，未按照合同约定对项目施工难点、重点工程编制作业指导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二、各单位具体情况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(一)设计单位：招商局重庆交通科研设计院有限公司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积极组织技术力量进行了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起点韵家口互通至三其村段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初步方案的设计，完成外业测设，正在进行内业工作，但进度缓慢。正在施工段设计服务力量不足，设计变更图纸出具缓慢，需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强化技术服务力量，及时出具设计变更图纸。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中心试验室：中南安全环境技术研究院股份有限公司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因疫情影响，中心试验室主要人员于本月底进场。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4月份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抽检粗集料3批次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细集料2批次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钢筋原材共6批次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土工试验2批次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抽检桥梁钢筋保护层厚度386点/12个构件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回弹强度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抽检43个构件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345测区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)，</w:t>
      </w:r>
      <w:r>
        <w:rPr>
          <w:rFonts w:hint="eastAsia" w:ascii="仿宋_GB2312" w:hAnsi="仿宋_GB2312" w:eastAsia="仿宋_GB2312" w:cs="仿宋_GB2312"/>
          <w:sz w:val="32"/>
          <w:szCs w:val="32"/>
        </w:rPr>
        <w:t>预应力管道压浆360米/1组抗折抗压试件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抽检</w:t>
      </w:r>
      <w:r>
        <w:rPr>
          <w:rFonts w:hint="eastAsia" w:ascii="仿宋_GB2312" w:hAnsi="仿宋_GB2312" w:eastAsia="仿宋_GB2312" w:cs="仿宋_GB2312"/>
          <w:sz w:val="32"/>
          <w:szCs w:val="32"/>
        </w:rPr>
        <w:t>喷射水泥混凝土1组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路基压实度检测194点，地基承载力抽检2组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水泥剂量12组。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但未有效解决人员配置不足的问题，对原材料、外加剂等抽检频率不足；未按照合同约定对项目施工难点、重点工程编制作业指导书；试验检测方案可操作性差，未针对项目特点编制；旬报、月报未对施工中存在的问题进行分析、制定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(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)监理单位：江西交通咨询有限公司/浙江东亿工程管理有限公司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西互公司创品质工程要求，基本履行了监理职责，进行现场旁站和试验检测工作，组织开展了内业资料、安全、环保、农民工专项检查，召开了大庄隧道双侧壁导抗侧壁拆除技术交底及安全施工交底会。4月份下发移动巡检13份，监理指令3份，监理通知4份。但对现场管控不到位，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施工单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位质量、进度未及时纠偏，特别是对砼外观较差、构造预制进度缓慢等问题未有效监督解决；对施工2标段梁板存放未及时检查整改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试验室管理混乱，未有效发挥试验检测职能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(四)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环水保管家:交通运输部天津水运工程科学研究所/四川嘉源生态发展有限责任公司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4月份环水保管家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配合西互公司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项目环水保工作进行了2次全面检查，出具现场问题报告2份，下发整改通知单2份,同时对参建单位环保内业资料进行了检查指导。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(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五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)施工单位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1.XHSG-1标：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中交二公局第三工程有限公司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(1)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工程质量：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质量管理体系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健全，工程实体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质量管理较好，质量意识不断提高。钢筋保护层厚度合格率较高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新老路拼接现场增加液压夯实机6台，主动对路基拓宽部位质量薄弱点和隐患采取处理措施。但也存在部分涵洞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气泡、漏浆等质量通病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解决不明显、涵洞整体养生不到位现象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(2)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安全生产：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能够落实安全生产主体责任，对新进场队伍进行了三级安全技术交底，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资料整理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现场安全围挡、标识标牌设置规范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原西互一级公路拓宽段大部分路段已展开作业面，部分原路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波形梁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护栏由于施工开挖存在不稳定现象，个别立柱存在脱空现象，相应防撞等级下降。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互助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主线桥盖梁施工中，未设置安全警戒区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运输车辆管理不到位，车辆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行驶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存在安全隐患。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(3)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环境保护：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能够履行环保主体责任，按照“边建边绿”的要求开展植树绿化工作。办理了场站、钢筋加工厂临时占地手续，但取土场手续办理缓慢；增加了降尘洒水车辆，但洒水力度不够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(4)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工程进度：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原西互一级公路拓宽段落路基施工进度缓慢，未完成安全保通方案的制定及评审工作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(5)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综合管理：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能够按照西互公司要求组织开展农民工银行卡、维权卡办理工作，及时对完成的管理资料整理归档，对西互项目农民工专项检查反馈问题进行整改。但农民工动态管理、工资发放台账上报不及时。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2.XHSG-2标：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中交一公局集团有限公司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(1)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工程质量：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质量管理体系运转不良，抽检K30+972处水泥土桩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施工现场水泥改良土拌和不均匀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；互助东主线2-3号桥梁墩柱砼外观差，墩顶浮浆严重；抽检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钢筋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机械连接极限抗拉强度不合格。预制梁板、涵节、小构件、现场现浇构造物养生不到位。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(2)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安全生产：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基本能够落实安全生产主体责任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三级交底不规范，内容针对性不强，隧道等分部分项工程安全技术交底不完善。姚马四号桥与平互大平交口安全措施不到位。运输车辆管理不到位，车辆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行驶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存在安全隐患。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(3)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环境保护：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能够履行环保主体责任，按照“边建边绿”的要求开展植树植绿工作。但对黑泉水源地保护意识不够，黑泉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2号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桥桩基施工中对泥浆池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设置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、混凝土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运输撒漏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管理不到位。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(4)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工程进度：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项目进度推进组织不科学，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机料投入不足，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梁板、涵节、小构件预制施工模板、施工队伍不满足现场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施工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需求。实现年底项目桥梁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梁板预制完成80%，安装完成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0%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涵洞、通道完成80%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防护及排水工程完成70%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的总体目标任务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难度较大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(5)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综合管理：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能够按照西互公司要求组织开展农民工银行卡、维权卡办理工作，及时对完成的管理资料整理归档，对西互项目农民工专项检查反馈问题进行整改。但农民工动态管理、工资发放台账上报不及时。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4月份“六比六创”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评比结果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经综合评比和西互公司研究，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本次评比给予流动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红旗1面，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奖励金额10万元；流动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黄旗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，收取违约金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通报批评3项。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(一)监理单位：江西交通咨询有限公司/浙江东亿工程管理有限公司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监理服务工作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不到位，未对施工单位现场进度、质量、安全等问题及时纠偏，试验室管理混乱，试验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检测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职能发挥不力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，经评比给予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综合管理通报批评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(二)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中心试验室：中南安全环境技术研究院股份有限公司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未有效解决人员配置不足的问题，对原材料、外加剂等抽检频率不足。未按照合同约定对项目施工难点、重点工程编制作业指导书；试验检测方案可操作性差，旬报、月报未对施工中存在的问题进行分析、制定措施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经评比给予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综合管理通报批评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(三)施工单位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1.XHSG-1标：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中交二公局第三工程有限公司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质量意识不断提高，钢筋保护层厚度控制较好；新老路拼接现场增加液压夯实机6台，主动对路基拓宽部位质量薄弱点和隐患采取处理措施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经评比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给予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质量管理红旗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1面，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奖励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10万元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2.XHSG-2标：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中交一公局集团有限公司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(1)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质量管理体系运转不良，个别段落水泥土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挤密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桩灰剂量不合格；互助东主线2-3号桥梁墩柱砼外观差，墩顶浮浆严重；抽检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钢筋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机械连接极限抗拉强度不合格；预制梁板、涵节、现场现浇构造物养生不到位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，存梁不规范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。经评比给予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质量管理黄旗1面，收取违约金10万元。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(2)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项目进度推进组织不科学，人机料投入不足，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梁板、涵节、小构件预制施工模板、施工队伍不满足现场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施工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需求。无法完成年底桥梁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、涵洞、防护及排水工程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考核目标任务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经评比给予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进度管理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通报批评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、下一步工作要求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(一)各参建单位高度重视省交通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工程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技术服务中心检查反馈意见的整改工作，以点带面全面排查和整改，监理办进行详细跟踪核查，西互公司将进行抽查，确保整改彻底。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二)各参建单位应进一步健全质量保证体系，根据工程实际和工程特点进一步补充完善质量管理制度和实施细则，积极开展质量安全红线、“三背回填”、梁板治理专项活动和质量管理日常工作，认真收集质量管理资料，并加强资料质量归档整理工作，确保质量保证体系能真正有效运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(三)各参建单位要加强对工地试验室的管理工作，加强对样品、化学药品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仪器设备检定/校准的管理工作，严把记录、报告的审核关，确保试验检测数据结果的准确性。对试验资料查漏补缺，确保试验检测资料的真实、准确、及时、规范。同时加强外购材料的管控，特别是对砼外加剂、土工合成材料、防水材料等原材的抽检频率，确保产品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(四)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中心试验室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加强合同条款学习，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强化人员配置，结合项目进展，制定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完善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可行的检测计划，发挥监测监控技术服务职能，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加大试验检测频率和巡查力度，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发现的问题及时预警和汇报，并形成书面材料及时反馈西互公司。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同时严格履行技术服务职能，对施工过程中的水泥改良土、新旧路基衔接、新旧桥涵衔接、钢结构桥梁施工等重难点进行详细分析，并提出解决意见和作业指导。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(五)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监理单位进一步主动发挥监督作用，加强现场质量管控，狠抓隐蔽工程施工工序，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积极落实隐蔽工程和关键工序监理旁站工作。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加强试验室管理，强化试验人员配置，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严把材料准入关、工序检验关，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不断规范项目试验室体系运转，为项目做好试验检测服务工作。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(六)各施工单位加大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工、料、机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的投入，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紧盯西互项目年度目标任务，梳理工地实际投入情况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分析当前预制梁板、构件、涵节等预制进度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及时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eastAsia="zh-CN"/>
        </w:rPr>
        <w:t>加大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模板、劳务人员投入，监理单位进行督促、核查及纠偏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(七)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各参建单位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安全生产“处处看、时时管、常抓不懈”的思想，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落实安全主体责任，强化安全防范。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组织开展“5.12全国防灾减灾日”活动，开展应急演练等工作。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加强施工现场安全管理，加快隧道明洞施工进度，落实门禁系统，补齐完善现场安全防护措施，确保本项目公路工程施工质量安全全过程受控。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严格落实安全生产经费实报实销制，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监理办要做好安全生产经费检查审核工作，确保安全经费专款专用。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(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各参建单位认真落实省交控集团、省交建公司《</w:t>
      </w:r>
      <w:r>
        <w:rPr>
          <w:rFonts w:hint="eastAsia" w:ascii="仿宋_GB2312" w:hAnsi="仿宋_GB2312" w:eastAsia="仿宋_GB2312" w:cs="仿宋_GB2312"/>
          <w:sz w:val="32"/>
          <w:szCs w:val="32"/>
        </w:rPr>
        <w:t>公路路域环境三年专项治理行动方案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施工现场、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、生活区域、工地试验室、拌合站、钢筋加工厂、预制梁场、小型构件预制厂、砂石料厂、取弃土场、施工便道、进出入口、平面交叉路口等路段做好现场标准化文明施工管理，做到整洁有序，路域环境治理工作取得成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青海西互高速公路管理有限公司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 xml:space="preserve"> 2020年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 w:start="1"/>
          <w:cols w:space="425" w:num="1"/>
          <w:docGrid w:type="lines" w:linePitch="312" w:charSpace="0"/>
        </w:sect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Calibri" w:hAnsi="Calibri" w:eastAsia="宋体" w:cs="黑体"/>
          <w:color w:val="auto"/>
          <w:kern w:val="2"/>
          <w:sz w:val="28"/>
          <w:szCs w:val="24"/>
          <w:lang w:val="en-US" w:eastAsia="zh-CN"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62230</wp:posOffset>
                </wp:positionV>
                <wp:extent cx="5628005" cy="337820"/>
                <wp:effectExtent l="0" t="0" r="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8005" cy="337820"/>
                          <a:chOff x="0" y="0"/>
                          <a:chExt cx="8863" cy="532"/>
                        </a:xfrm>
                        <a:effectLst/>
                      </wpg:grpSpPr>
                      <wps:wsp>
                        <wps:cNvPr id="2" name="直接连接符 1"/>
                        <wps:cNvCnPr/>
                        <wps:spPr>
                          <a:xfrm>
                            <a:off x="14" y="532"/>
                            <a:ext cx="8849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0"/>
                      </wps:wsp>
                      <wps:wsp>
                        <wps:cNvPr id="4" name="直接连接符 2"/>
                        <wps:cNvCnPr/>
                        <wps:spPr>
                          <a:xfrm>
                            <a:off x="0" y="0"/>
                            <a:ext cx="8849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.15pt;margin-top:4.9pt;height:26.6pt;width:443.15pt;z-index:251658240;mso-width-relative:page;mso-height-relative:page;" coordsize="8863,532" o:gfxdata="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OtRqHtgAAAAHAQAADwAAAAAAAAABACAAAAAiAAAAZHJzL2Rv&#10;d25yZXYueG1sUEsBAhQAFAAAAAgAh07iQBbfQUdzAgAA7AYAAA4AAAAAAAAAAQAgAAAAJwEAAGRy&#10;cy9lMm9Eb2MueG1sUEsFBgAAAAAGAAYAWQEAAAwGAAAAAA==&#10;">
                <o:lock v:ext="edit" aspectratio="f"/>
                <v:line id="直接连接符 1" o:spid="_x0000_s1026" o:spt="20" style="position:absolute;left:14;top:532;height:0;width:8849;" filled="f" stroked="t" coordsize="21600,21600" o:gfxdata="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SEfO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2" o:spid="_x0000_s1026" o:spt="20" style="position:absolute;left:0;top:0;height:0;width:8849;" filled="f" stroked="t" coordsize="21600,21600" o:gfxdata="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t3LBy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zh-CN"/>
        </w:rPr>
        <w:t>青海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zh-CN" w:eastAsia="zh-CN"/>
        </w:rPr>
        <w:t>西互高速公路管理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zh-CN"/>
        </w:rPr>
        <w:t>有限公司综合管理部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20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20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年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月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8</w:t>
      </w:r>
      <w:bookmarkStart w:id="0" w:name="_GoBack"/>
      <w:bookmarkEnd w:id="0"/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印发</w:t>
      </w:r>
    </w:p>
    <w:sectPr>
      <w:footerReference r:id="rId4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310BCF"/>
    <w:multiLevelType w:val="singleLevel"/>
    <w:tmpl w:val="C7310BC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23646"/>
    <w:rsid w:val="00DD473A"/>
    <w:rsid w:val="02311AF7"/>
    <w:rsid w:val="02433CFC"/>
    <w:rsid w:val="030A0CB7"/>
    <w:rsid w:val="033466B9"/>
    <w:rsid w:val="0703685E"/>
    <w:rsid w:val="076369FB"/>
    <w:rsid w:val="08C32435"/>
    <w:rsid w:val="09505B7B"/>
    <w:rsid w:val="0AB1167A"/>
    <w:rsid w:val="0B576618"/>
    <w:rsid w:val="0B6E5D28"/>
    <w:rsid w:val="0D957CEB"/>
    <w:rsid w:val="0EBF4F5B"/>
    <w:rsid w:val="0FBC7B99"/>
    <w:rsid w:val="113658E7"/>
    <w:rsid w:val="169C603F"/>
    <w:rsid w:val="17303473"/>
    <w:rsid w:val="17CF0C5D"/>
    <w:rsid w:val="19616E95"/>
    <w:rsid w:val="1B1609BE"/>
    <w:rsid w:val="1BC64CCC"/>
    <w:rsid w:val="1C900747"/>
    <w:rsid w:val="1C9620C0"/>
    <w:rsid w:val="1CA42028"/>
    <w:rsid w:val="1F6E4C73"/>
    <w:rsid w:val="1FA5187B"/>
    <w:rsid w:val="1FBBB8AB"/>
    <w:rsid w:val="21DB2D21"/>
    <w:rsid w:val="22394DB4"/>
    <w:rsid w:val="23833256"/>
    <w:rsid w:val="23A35C3D"/>
    <w:rsid w:val="25005D3A"/>
    <w:rsid w:val="2561560D"/>
    <w:rsid w:val="260B294F"/>
    <w:rsid w:val="26226AE1"/>
    <w:rsid w:val="266F79F0"/>
    <w:rsid w:val="27614CD1"/>
    <w:rsid w:val="2AD669F1"/>
    <w:rsid w:val="2BC834E3"/>
    <w:rsid w:val="2E825696"/>
    <w:rsid w:val="2F240636"/>
    <w:rsid w:val="300312CD"/>
    <w:rsid w:val="316F3262"/>
    <w:rsid w:val="31785C4C"/>
    <w:rsid w:val="329571BD"/>
    <w:rsid w:val="3342642A"/>
    <w:rsid w:val="34074D9C"/>
    <w:rsid w:val="34093B32"/>
    <w:rsid w:val="354C4AB6"/>
    <w:rsid w:val="361C0332"/>
    <w:rsid w:val="38374C26"/>
    <w:rsid w:val="38665318"/>
    <w:rsid w:val="38EA1032"/>
    <w:rsid w:val="3A344E2F"/>
    <w:rsid w:val="3A78779E"/>
    <w:rsid w:val="3ADF31DA"/>
    <w:rsid w:val="3B3A7BCA"/>
    <w:rsid w:val="3BC71E6C"/>
    <w:rsid w:val="3BD7695F"/>
    <w:rsid w:val="3D682B79"/>
    <w:rsid w:val="3D815C46"/>
    <w:rsid w:val="3DB27189"/>
    <w:rsid w:val="3F1D27A3"/>
    <w:rsid w:val="3F6C7904"/>
    <w:rsid w:val="3FF7AB63"/>
    <w:rsid w:val="40026F79"/>
    <w:rsid w:val="410D75A2"/>
    <w:rsid w:val="43C76F22"/>
    <w:rsid w:val="44D74057"/>
    <w:rsid w:val="4543145E"/>
    <w:rsid w:val="45730FA9"/>
    <w:rsid w:val="45D50DEA"/>
    <w:rsid w:val="45DD08C5"/>
    <w:rsid w:val="47820309"/>
    <w:rsid w:val="48107FD7"/>
    <w:rsid w:val="488E7543"/>
    <w:rsid w:val="48CC6A14"/>
    <w:rsid w:val="4A1E2A67"/>
    <w:rsid w:val="4AE10264"/>
    <w:rsid w:val="4B8431FD"/>
    <w:rsid w:val="4C627AC9"/>
    <w:rsid w:val="4D3023C2"/>
    <w:rsid w:val="4D3E1571"/>
    <w:rsid w:val="4DD956C3"/>
    <w:rsid w:val="4E324516"/>
    <w:rsid w:val="4E884106"/>
    <w:rsid w:val="4EF96228"/>
    <w:rsid w:val="4FAB44DE"/>
    <w:rsid w:val="4FF920DE"/>
    <w:rsid w:val="52910DE7"/>
    <w:rsid w:val="55D856CD"/>
    <w:rsid w:val="56363B5F"/>
    <w:rsid w:val="57D64FE3"/>
    <w:rsid w:val="58A770A3"/>
    <w:rsid w:val="58B76C1B"/>
    <w:rsid w:val="59281F66"/>
    <w:rsid w:val="5A054B1E"/>
    <w:rsid w:val="5A517241"/>
    <w:rsid w:val="5A9A5B6A"/>
    <w:rsid w:val="5B1A5613"/>
    <w:rsid w:val="5B87661A"/>
    <w:rsid w:val="5C1B19D9"/>
    <w:rsid w:val="5C1F5CFD"/>
    <w:rsid w:val="5E0E41B6"/>
    <w:rsid w:val="5E904A34"/>
    <w:rsid w:val="5F1B10B9"/>
    <w:rsid w:val="5FDF7085"/>
    <w:rsid w:val="5FEB7A5B"/>
    <w:rsid w:val="6046274D"/>
    <w:rsid w:val="63FC55AC"/>
    <w:rsid w:val="652D296A"/>
    <w:rsid w:val="67D221D5"/>
    <w:rsid w:val="68CE5DCF"/>
    <w:rsid w:val="68F40503"/>
    <w:rsid w:val="694212D5"/>
    <w:rsid w:val="69E23646"/>
    <w:rsid w:val="69F23C6D"/>
    <w:rsid w:val="6A3107EE"/>
    <w:rsid w:val="6A746001"/>
    <w:rsid w:val="6AC85FD2"/>
    <w:rsid w:val="6CC9774D"/>
    <w:rsid w:val="6DC0799F"/>
    <w:rsid w:val="6E8A2B8D"/>
    <w:rsid w:val="6ECA653B"/>
    <w:rsid w:val="6EE11937"/>
    <w:rsid w:val="6EF7BAB0"/>
    <w:rsid w:val="6F247FD7"/>
    <w:rsid w:val="6FA21C24"/>
    <w:rsid w:val="6FDB608C"/>
    <w:rsid w:val="70741CFD"/>
    <w:rsid w:val="7113693C"/>
    <w:rsid w:val="713A156C"/>
    <w:rsid w:val="72016F58"/>
    <w:rsid w:val="775C647E"/>
    <w:rsid w:val="779E1011"/>
    <w:rsid w:val="783A3A1C"/>
    <w:rsid w:val="788B1FA0"/>
    <w:rsid w:val="78C6171B"/>
    <w:rsid w:val="79151D24"/>
    <w:rsid w:val="7968230A"/>
    <w:rsid w:val="79BF91B4"/>
    <w:rsid w:val="7A3D43F1"/>
    <w:rsid w:val="7A984FB6"/>
    <w:rsid w:val="7BAB180E"/>
    <w:rsid w:val="7BF52F9C"/>
    <w:rsid w:val="7DEBD296"/>
    <w:rsid w:val="7DF801A1"/>
    <w:rsid w:val="7DFB42C5"/>
    <w:rsid w:val="7E9C4505"/>
    <w:rsid w:val="7EAC3290"/>
    <w:rsid w:val="7EDBFCAE"/>
    <w:rsid w:val="7EFFA5E1"/>
    <w:rsid w:val="7F7C3F14"/>
    <w:rsid w:val="7F7F05AD"/>
    <w:rsid w:val="7FF73EA9"/>
    <w:rsid w:val="7FFF00DD"/>
    <w:rsid w:val="9FDF9739"/>
    <w:rsid w:val="B3F71347"/>
    <w:rsid w:val="DB7FF0AD"/>
    <w:rsid w:val="DDEF7C08"/>
    <w:rsid w:val="DFFFFA7F"/>
    <w:rsid w:val="E5DF6C9A"/>
    <w:rsid w:val="E7D510FA"/>
    <w:rsid w:val="EFFED811"/>
    <w:rsid w:val="F4AEFFB2"/>
    <w:rsid w:val="FA7B12A1"/>
    <w:rsid w:val="FABB7B11"/>
    <w:rsid w:val="FEFD2D9E"/>
    <w:rsid w:val="FFE0C8E0"/>
    <w:rsid w:val="FFE7E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5"/>
    <w:next w:val="6"/>
    <w:link w:val="16"/>
    <w:qFormat/>
    <w:uiPriority w:val="0"/>
    <w:pPr>
      <w:keepNext/>
      <w:keepLines/>
      <w:spacing w:before="340" w:beforeLines="0" w:beforeAutospacing="0" w:after="330" w:afterLines="0" w:afterAutospacing="0" w:line="360" w:lineRule="auto"/>
      <w:ind w:leftChars="0"/>
      <w:jc w:val="center"/>
      <w:outlineLvl w:val="0"/>
    </w:pPr>
    <w:rPr>
      <w:rFonts w:eastAsia="宋体" w:asciiTheme="minorAscii" w:hAnsiTheme="minorAscii"/>
      <w:kern w:val="44"/>
      <w:sz w:val="36"/>
    </w:rPr>
  </w:style>
  <w:style w:type="paragraph" w:styleId="7">
    <w:name w:val="heading 2"/>
    <w:basedOn w:val="1"/>
    <w:next w:val="1"/>
    <w:link w:val="15"/>
    <w:semiHidden/>
    <w:unhideWhenUsed/>
    <w:qFormat/>
    <w:uiPriority w:val="0"/>
    <w:pPr>
      <w:keepNext/>
      <w:keepLines/>
      <w:tabs>
        <w:tab w:val="left" w:pos="840"/>
      </w:tabs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宋体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eastAsia="Times New Roman"/>
      <w:sz w:val="24"/>
      <w:szCs w:val="20"/>
    </w:r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caption"/>
    <w:basedOn w:val="1"/>
    <w:next w:val="1"/>
    <w:qFormat/>
    <w:uiPriority w:val="0"/>
    <w:pPr>
      <w:tabs>
        <w:tab w:val="left" w:pos="0"/>
        <w:tab w:val="left" w:pos="360"/>
      </w:tabs>
    </w:pPr>
    <w:rPr>
      <w:rFonts w:hint="eastAsia" w:ascii="宋体" w:hAnsi="宋体"/>
      <w:sz w:val="28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14">
    <w:name w:val="Emphasis"/>
    <w:basedOn w:val="13"/>
    <w:qFormat/>
    <w:uiPriority w:val="0"/>
    <w:rPr>
      <w:i/>
    </w:rPr>
  </w:style>
  <w:style w:type="character" w:customStyle="1" w:styleId="15">
    <w:name w:val="标题 2 Char"/>
    <w:link w:val="7"/>
    <w:qFormat/>
    <w:uiPriority w:val="0"/>
    <w:rPr>
      <w:rFonts w:ascii="Arial" w:hAnsi="Arial" w:eastAsia="宋体"/>
      <w:sz w:val="21"/>
    </w:rPr>
  </w:style>
  <w:style w:type="character" w:customStyle="1" w:styleId="16">
    <w:name w:val="标题 1 Char"/>
    <w:link w:val="4"/>
    <w:qFormat/>
    <w:uiPriority w:val="0"/>
    <w:rPr>
      <w:rFonts w:eastAsia="宋体" w:asciiTheme="minorAscii" w:hAnsiTheme="minorAscii"/>
      <w:b/>
      <w:kern w:val="44"/>
      <w:sz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2019-09-30T15:05:00Z</dcterms:created>
  <dc:creator>汪正兴</dc:creator>
  <cp:lastModifiedBy>Evan</cp:lastModifiedBy>
  <cp:lastPrinted>2020-05-07T16:12:00Z</cp:lastPrinted>
  <dcterms:modified xsi:type="dcterms:W3CDTF">2020-05-08T08:02:43Z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